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EC" w:rsidRPr="00EF2AEC" w:rsidRDefault="00EF2AEC" w:rsidP="00EF2AEC">
      <w:pPr>
        <w:spacing w:before="240" w:after="180" w:line="240" w:lineRule="auto"/>
        <w:textAlignment w:val="baseline"/>
        <w:outlineLvl w:val="1"/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</w:pPr>
      <w:r w:rsidRPr="00EF2AEC"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  <w:t>4.1.1 Social influence</w:t>
      </w:r>
    </w:p>
    <w:p w:rsidR="00EF2AEC" w:rsidRPr="00EF2AEC" w:rsidRDefault="00EF2AEC" w:rsidP="00EF2AEC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Types of conformity: internalisation, identification and compliance. Explanations for conformity: informational social influence and normative social influence, and variables affecting conformity including group size, unanimity and task difficulty as investigated by Asch.</w:t>
      </w:r>
    </w:p>
    <w:p w:rsidR="00EF2AEC" w:rsidRPr="00EF2AEC" w:rsidRDefault="00EF2AEC" w:rsidP="00EF2AEC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Conformity to social roles as investigated by Zimbardo.</w:t>
      </w:r>
    </w:p>
    <w:p w:rsidR="00EF2AEC" w:rsidRPr="00EF2AEC" w:rsidRDefault="00EF2AEC" w:rsidP="00EF2AEC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Explanations for obedience: agentic state and legitimacy of authority, and situational variables affecting obedience including proximity, location and uniform, as investigated by Milgram. Dispositional explanation for obedience: the Authoritarian Personality.</w:t>
      </w:r>
    </w:p>
    <w:p w:rsidR="00EF2AEC" w:rsidRPr="00EF2AEC" w:rsidRDefault="00EF2AEC" w:rsidP="00EF2AEC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Explanations of resistance to social influence, including social support and locus of control.</w:t>
      </w:r>
    </w:p>
    <w:p w:rsidR="00EF2AEC" w:rsidRPr="00EF2AEC" w:rsidRDefault="00EF2AEC" w:rsidP="00EF2AEC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Minority influence including reference to consistency, commitment and flexibility.</w:t>
      </w:r>
    </w:p>
    <w:p w:rsidR="00EF2AEC" w:rsidRPr="00EF2AEC" w:rsidRDefault="00EF2AEC" w:rsidP="00EF2AEC">
      <w:pPr>
        <w:numPr>
          <w:ilvl w:val="0"/>
          <w:numId w:val="4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role of social influence processes in social change.</w:t>
      </w:r>
    </w:p>
    <w:p w:rsidR="00EF2AEC" w:rsidRPr="00EF2AEC" w:rsidRDefault="00EF2AEC" w:rsidP="00EF2AEC">
      <w:pPr>
        <w:spacing w:before="240" w:after="180" w:line="240" w:lineRule="auto"/>
        <w:textAlignment w:val="baseline"/>
        <w:outlineLvl w:val="1"/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</w:pPr>
      <w:r w:rsidRPr="00EF2AEC"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  <w:t>4.1.2 Memory</w:t>
      </w:r>
    </w:p>
    <w:p w:rsidR="00EF2AEC" w:rsidRPr="00EF2AEC" w:rsidRDefault="00EF2AEC" w:rsidP="00EF2AEC">
      <w:pPr>
        <w:numPr>
          <w:ilvl w:val="0"/>
          <w:numId w:val="5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multi-store model of memory: sensory register, short-term memory and long-term memory. Features of each store: coding, capacity and duration.</w:t>
      </w:r>
    </w:p>
    <w:p w:rsidR="00EF2AEC" w:rsidRPr="00EF2AEC" w:rsidRDefault="00EF2AEC" w:rsidP="00EF2AEC">
      <w:pPr>
        <w:numPr>
          <w:ilvl w:val="0"/>
          <w:numId w:val="5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Types of long-term memory: episodic, semantic, procedural.</w:t>
      </w:r>
    </w:p>
    <w:p w:rsidR="00EF2AEC" w:rsidRPr="00EF2AEC" w:rsidRDefault="00EF2AEC" w:rsidP="00EF2AEC">
      <w:pPr>
        <w:numPr>
          <w:ilvl w:val="0"/>
          <w:numId w:val="5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working memory model: central executive, phonological loop, visuo-spatial sketchpad and episodic buffer. Features of the model: coding and capacity.</w:t>
      </w:r>
    </w:p>
    <w:p w:rsidR="00EF2AEC" w:rsidRPr="00EF2AEC" w:rsidRDefault="00EF2AEC" w:rsidP="00EF2AEC">
      <w:pPr>
        <w:numPr>
          <w:ilvl w:val="0"/>
          <w:numId w:val="5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Explanations for forgetting: proactive and retroactive interference and retrieval failure due to absence of cues.</w:t>
      </w:r>
    </w:p>
    <w:p w:rsidR="00EF2AEC" w:rsidRPr="00EF2AEC" w:rsidRDefault="00EF2AEC" w:rsidP="00EF2AEC">
      <w:pPr>
        <w:numPr>
          <w:ilvl w:val="0"/>
          <w:numId w:val="5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Factors affecting the accuracy of eyewitness testimony: misleading information, including leading questions and post-event discussion; anxiety.</w:t>
      </w:r>
    </w:p>
    <w:p w:rsidR="00EF2AEC" w:rsidRPr="00EF2AEC" w:rsidRDefault="00EF2AEC" w:rsidP="00EF2AEC">
      <w:pPr>
        <w:numPr>
          <w:ilvl w:val="0"/>
          <w:numId w:val="5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Improving the accuracy of eyewitness testimony, including the use of the cognitive interview.</w:t>
      </w:r>
    </w:p>
    <w:p w:rsidR="00EF2AEC" w:rsidRPr="00EF2AEC" w:rsidRDefault="00EF2AEC" w:rsidP="00EF2AEC">
      <w:pPr>
        <w:spacing w:before="240" w:after="180" w:line="240" w:lineRule="auto"/>
        <w:textAlignment w:val="baseline"/>
        <w:outlineLvl w:val="1"/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</w:pPr>
      <w:r w:rsidRPr="00EF2AEC"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  <w:t>4.1.3 Attachment</w:t>
      </w:r>
    </w:p>
    <w:p w:rsidR="00EF2AEC" w:rsidRPr="00EF2AEC" w:rsidRDefault="00EF2AEC" w:rsidP="00EF2AEC">
      <w:pPr>
        <w:numPr>
          <w:ilvl w:val="0"/>
          <w:numId w:val="6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Caregiver-infant interactions in humans: reciprocity and interactional synchrony. Stages of attachment identified by Schaffer. Multiple attachments and the role of the father.</w:t>
      </w:r>
    </w:p>
    <w:p w:rsidR="00EF2AEC" w:rsidRPr="00EF2AEC" w:rsidRDefault="00EF2AEC" w:rsidP="00EF2AEC">
      <w:pPr>
        <w:numPr>
          <w:ilvl w:val="0"/>
          <w:numId w:val="6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Animal studies of attachment: Lorenz and Harlow.</w:t>
      </w:r>
    </w:p>
    <w:p w:rsidR="00EF2AEC" w:rsidRPr="00EF2AEC" w:rsidRDefault="00EF2AEC" w:rsidP="00EF2AEC">
      <w:pPr>
        <w:numPr>
          <w:ilvl w:val="0"/>
          <w:numId w:val="6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Explanations of attachment: learning theory and Bowlby’s </w:t>
      </w:r>
      <w:proofErr w:type="spellStart"/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monotropic</w:t>
      </w:r>
      <w:proofErr w:type="spellEnd"/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 theory. The concepts of a critical period and an internal working model.</w:t>
      </w:r>
    </w:p>
    <w:p w:rsidR="00EF2AEC" w:rsidRPr="00EF2AEC" w:rsidRDefault="00EF2AEC" w:rsidP="00EF2AEC">
      <w:pPr>
        <w:numPr>
          <w:ilvl w:val="0"/>
          <w:numId w:val="6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Ainsworth’s ‘Strange Situation’. Types of attachment: secure, insecure-avoidant and insecure-resistant. Cultural variations in attachment, including van </w:t>
      </w:r>
      <w:proofErr w:type="spellStart"/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Ijzendoorn</w:t>
      </w:r>
      <w:proofErr w:type="spellEnd"/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.</w:t>
      </w:r>
    </w:p>
    <w:p w:rsidR="00EF2AEC" w:rsidRPr="00EF2AEC" w:rsidRDefault="00EF2AEC" w:rsidP="00EF2AEC">
      <w:pPr>
        <w:numPr>
          <w:ilvl w:val="0"/>
          <w:numId w:val="6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Bowlby’s theory of maternal deprivation. Romanian orphan studies: effects of institutionalisation.</w:t>
      </w:r>
    </w:p>
    <w:p w:rsidR="00EF2AEC" w:rsidRPr="00EF2AEC" w:rsidRDefault="00EF2AEC" w:rsidP="00EF2AEC">
      <w:pPr>
        <w:numPr>
          <w:ilvl w:val="0"/>
          <w:numId w:val="6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influence of early attachment on childhood and adult relationships, including the role of an internal working model.</w:t>
      </w:r>
    </w:p>
    <w:p w:rsidR="00EF2AEC" w:rsidRPr="00EF2AEC" w:rsidRDefault="00EF2AEC" w:rsidP="00EF2AEC">
      <w:pPr>
        <w:spacing w:before="240" w:after="180" w:line="240" w:lineRule="auto"/>
        <w:textAlignment w:val="baseline"/>
        <w:outlineLvl w:val="1"/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</w:pPr>
      <w:r w:rsidRPr="00EF2AEC">
        <w:rPr>
          <w:rFonts w:ascii="Helvetica" w:eastAsia="Times New Roman" w:hAnsi="Helvetica" w:cs="Times New Roman"/>
          <w:color w:val="412878"/>
          <w:sz w:val="40"/>
          <w:szCs w:val="40"/>
          <w:lang w:eastAsia="en-GB"/>
        </w:rPr>
        <w:lastRenderedPageBreak/>
        <w:t>4.1.4 Psychopathology</w:t>
      </w:r>
    </w:p>
    <w:p w:rsidR="00EF2AEC" w:rsidRPr="00EF2AEC" w:rsidRDefault="00EF2AEC" w:rsidP="00EF2AEC">
      <w:pPr>
        <w:numPr>
          <w:ilvl w:val="0"/>
          <w:numId w:val="7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Definitions of abnormality, including deviation from social norms, failure to function adequately, statistical infrequency and deviation from ideal mental health.</w:t>
      </w:r>
    </w:p>
    <w:p w:rsidR="00EF2AEC" w:rsidRPr="00EF2AEC" w:rsidRDefault="00EF2AEC" w:rsidP="00EF2AEC">
      <w:pPr>
        <w:numPr>
          <w:ilvl w:val="0"/>
          <w:numId w:val="7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behavioural, emotional and cognitive characteristics of phobias, depression and obsessive-compulsive disorder (OCD).</w:t>
      </w:r>
    </w:p>
    <w:p w:rsidR="00EF2AEC" w:rsidRPr="00EF2AEC" w:rsidRDefault="00EF2AEC" w:rsidP="00EF2AEC">
      <w:pPr>
        <w:numPr>
          <w:ilvl w:val="0"/>
          <w:numId w:val="7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behavioural approach to explaining and treating phobias: the two-process model, including classical and operant conditioning; systematic desensitisation, including relaxation and use of hierarchy; flooding.</w:t>
      </w:r>
    </w:p>
    <w:p w:rsidR="00EF2AEC" w:rsidRPr="00EF2AEC" w:rsidRDefault="00EF2AEC" w:rsidP="00EF2AEC">
      <w:pPr>
        <w:numPr>
          <w:ilvl w:val="0"/>
          <w:numId w:val="7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cognitive approach to explaining and treating depression: Beck’s negative triad and Ellis’s ABC model</w:t>
      </w:r>
      <w:proofErr w:type="gramStart"/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;</w:t>
      </w:r>
      <w:proofErr w:type="gramEnd"/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 xml:space="preserve"> cognitive behaviour therapy (CBT), including challenging irrational thoughts.</w:t>
      </w:r>
    </w:p>
    <w:p w:rsidR="00EF2AEC" w:rsidRPr="00EF2AEC" w:rsidRDefault="00EF2AEC" w:rsidP="00EF2AEC">
      <w:pPr>
        <w:numPr>
          <w:ilvl w:val="0"/>
          <w:numId w:val="7"/>
        </w:numPr>
        <w:spacing w:after="30" w:line="360" w:lineRule="atLeast"/>
        <w:ind w:left="0"/>
        <w:textAlignment w:val="baseline"/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</w:pPr>
      <w:r w:rsidRPr="00EF2AEC">
        <w:rPr>
          <w:rFonts w:ascii="Helvetica" w:eastAsia="Times New Roman" w:hAnsi="Helvetica" w:cs="Times New Roman"/>
          <w:color w:val="4C4C4B"/>
          <w:sz w:val="20"/>
          <w:szCs w:val="20"/>
          <w:lang w:eastAsia="en-GB"/>
        </w:rPr>
        <w:t>The biological approach to explaining and treating OCD: genetic and neural explanations; drug therapy.</w:t>
      </w:r>
    </w:p>
    <w:p w:rsidR="006E3C03" w:rsidRDefault="006E3C03">
      <w:bookmarkStart w:id="0" w:name="_GoBack"/>
      <w:bookmarkEnd w:id="0"/>
    </w:p>
    <w:sectPr w:rsidR="006E3C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A0" w:rsidRDefault="00060EA0" w:rsidP="00060EA0">
      <w:pPr>
        <w:spacing w:after="0" w:line="240" w:lineRule="auto"/>
      </w:pPr>
      <w:r>
        <w:separator/>
      </w:r>
    </w:p>
  </w:endnote>
  <w:endnote w:type="continuationSeparator" w:id="0">
    <w:p w:rsidR="00060EA0" w:rsidRDefault="00060EA0" w:rsidP="0006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A0" w:rsidRDefault="00060EA0" w:rsidP="00060EA0">
      <w:pPr>
        <w:spacing w:after="0" w:line="240" w:lineRule="auto"/>
      </w:pPr>
      <w:r>
        <w:separator/>
      </w:r>
    </w:p>
  </w:footnote>
  <w:footnote w:type="continuationSeparator" w:id="0">
    <w:p w:rsidR="00060EA0" w:rsidRDefault="00060EA0" w:rsidP="0006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A0" w:rsidRPr="00060EA0" w:rsidRDefault="00060EA0" w:rsidP="00060EA0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60EA0">
      <w:rPr>
        <w:rFonts w:ascii="Arial" w:hAnsi="Arial" w:cs="Arial"/>
        <w:b/>
        <w:sz w:val="32"/>
        <w:szCs w:val="32"/>
        <w:u w:val="single"/>
      </w:rPr>
      <w:t>Psychology A-Level Paper 1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FD1"/>
    <w:multiLevelType w:val="multilevel"/>
    <w:tmpl w:val="E18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C0F35"/>
    <w:multiLevelType w:val="multilevel"/>
    <w:tmpl w:val="3AE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76DB"/>
    <w:multiLevelType w:val="multilevel"/>
    <w:tmpl w:val="145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C70A2"/>
    <w:multiLevelType w:val="multilevel"/>
    <w:tmpl w:val="B17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A52A2"/>
    <w:multiLevelType w:val="multilevel"/>
    <w:tmpl w:val="9B16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E5237"/>
    <w:multiLevelType w:val="multilevel"/>
    <w:tmpl w:val="B92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B56F1"/>
    <w:multiLevelType w:val="multilevel"/>
    <w:tmpl w:val="5AE4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F54F1"/>
    <w:multiLevelType w:val="multilevel"/>
    <w:tmpl w:val="F20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0"/>
    <w:rsid w:val="00060EA0"/>
    <w:rsid w:val="006E3C03"/>
    <w:rsid w:val="00E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1A6"/>
  <w15:chartTrackingRefBased/>
  <w15:docId w15:val="{AFD938F2-53AC-4BC2-A5CC-753802C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2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A0"/>
  </w:style>
  <w:style w:type="paragraph" w:styleId="Footer">
    <w:name w:val="footer"/>
    <w:basedOn w:val="Normal"/>
    <w:link w:val="FooterChar"/>
    <w:uiPriority w:val="99"/>
    <w:unhideWhenUsed/>
    <w:rsid w:val="0006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A0"/>
  </w:style>
  <w:style w:type="character" w:customStyle="1" w:styleId="Heading2Char">
    <w:name w:val="Heading 2 Char"/>
    <w:basedOn w:val="DefaultParagraphFont"/>
    <w:link w:val="Heading2"/>
    <w:uiPriority w:val="9"/>
    <w:rsid w:val="00EF2A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2AE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2A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2AE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2A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2AE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942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33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90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4994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2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73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Annael Priano</dc:creator>
  <cp:keywords/>
  <dc:description/>
  <cp:lastModifiedBy>Annael Priano</cp:lastModifiedBy>
  <cp:revision>1</cp:revision>
  <dcterms:created xsi:type="dcterms:W3CDTF">2019-06-21T11:55:00Z</dcterms:created>
  <dcterms:modified xsi:type="dcterms:W3CDTF">2019-06-21T12:11:00Z</dcterms:modified>
</cp:coreProperties>
</file>